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F4" w:rsidRPr="004F751A" w:rsidRDefault="004F751A" w:rsidP="00B07F84">
      <w:pPr>
        <w:bidi/>
        <w:rPr>
          <w:rFonts w:ascii="Canaro Book" w:hAnsi="Canaro Book" w:cs="Arial"/>
          <w:color w:val="7030A0"/>
          <w:sz w:val="36"/>
          <w:szCs w:val="36"/>
          <w:rtl/>
        </w:rPr>
      </w:pPr>
      <w:r>
        <w:rPr>
          <w:rFonts w:ascii="Canaro Book" w:hAnsi="Canaro Book" w:cs="Arial" w:hint="cs"/>
          <w:color w:val="7030A0"/>
          <w:sz w:val="36"/>
          <w:szCs w:val="36"/>
          <w:rtl/>
        </w:rPr>
        <w:t>النشرة التدريبية 18.1</w:t>
      </w:r>
      <w:r>
        <w:rPr>
          <w:rFonts w:ascii="Canaro Book" w:hAnsi="Canaro Book" w:cs="Arial" w:hint="cs"/>
          <w:color w:val="7030A0"/>
          <w:sz w:val="36"/>
          <w:szCs w:val="36"/>
          <w:rtl/>
        </w:rPr>
        <w:tab/>
        <w:t>الغرض</w:t>
      </w:r>
    </w:p>
    <w:p w:rsidR="003F761D" w:rsidRDefault="003F761D" w:rsidP="00B07F84">
      <w:pPr>
        <w:bidi/>
        <w:rPr>
          <w:rFonts w:ascii="Tw Cen MT Condensed" w:hAnsi="Tw Cen MT Condensed" w:cs="Arial"/>
          <w:sz w:val="32"/>
          <w:rtl/>
        </w:rPr>
      </w:pPr>
    </w:p>
    <w:p w:rsidR="004B0222" w:rsidRPr="00B07F84" w:rsidRDefault="004B0222" w:rsidP="00B07F84">
      <w:pPr>
        <w:bidi/>
        <w:rPr>
          <w:rFonts w:ascii="Open Sans" w:hAnsi="Open Sans" w:cs="Arial"/>
          <w:bCs/>
          <w:sz w:val="22"/>
          <w:szCs w:val="22"/>
          <w:rtl/>
        </w:rPr>
      </w:pPr>
      <w:r w:rsidRPr="00B07F84">
        <w:rPr>
          <w:rFonts w:ascii="Open Sans" w:hAnsi="Open Sans" w:cs="Arial" w:hint="cs"/>
          <w:bCs/>
          <w:sz w:val="22"/>
          <w:szCs w:val="22"/>
          <w:rtl/>
        </w:rPr>
        <w:t>10 محاور الإشراف</w:t>
      </w:r>
    </w:p>
    <w:p w:rsidR="003F761D" w:rsidRPr="004F751A" w:rsidRDefault="003F761D" w:rsidP="00B07F84">
      <w:pPr>
        <w:bidi/>
        <w:rPr>
          <w:rFonts w:ascii="Open Sans" w:hAnsi="Open Sans" w:cs="Open Sans"/>
          <w:sz w:val="22"/>
          <w:szCs w:val="22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B07F8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bidi/>
              <w:ind w:left="247" w:right="125" w:hanging="270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إتاحة المكان المناسب للأشخاص الخاضعين للإشراف لدراسة محتوى وإجراءات عملهم بعناية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B07F84">
            <w:pPr>
              <w:bidi/>
              <w:ind w:left="252" w:right="125" w:hanging="252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6. التأكد من أن الشخص أو العامل لا يُترك لمواجهة الصعوبات والمشكلات والتوقعات غير الضرورية وحده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B07F8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bidi/>
              <w:ind w:left="247" w:right="125" w:hanging="270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تطوير الفهم والمهارات في إطار العمل</w:t>
            </w:r>
            <w:bookmarkStart w:id="0" w:name="_GoBack"/>
            <w:bookmarkEnd w:id="0"/>
          </w:p>
        </w:tc>
        <w:tc>
          <w:tcPr>
            <w:tcW w:w="4675" w:type="dxa"/>
            <w:vAlign w:val="center"/>
          </w:tcPr>
          <w:p w:rsidR="003F761D" w:rsidRPr="004F751A" w:rsidRDefault="003F761D" w:rsidP="00B07F84">
            <w:pPr>
              <w:bidi/>
              <w:ind w:left="252" w:right="125" w:hanging="252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7. إتاحة المكان المناسب لاستكشاف والتعبير عن مشاعر الضيق أو الاسترجاع أو التحويل أو التحويل العكسي التي تنشأ نتيجة للعمل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B07F8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bidi/>
              <w:ind w:left="247" w:right="125" w:hanging="270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تلقي معلومات ووجهات نظر أخرى بخصوص عمل الشخص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B07F84">
            <w:pPr>
              <w:bidi/>
              <w:ind w:left="252" w:right="125" w:hanging="252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8. التخطيط للموارد الشخصية والمهنية واستخدامها بشكل أفضل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B07F8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bidi/>
              <w:ind w:left="247" w:right="125" w:hanging="270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تلقي التعقيبات بشأن المحتوى والإجراءات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B07F84">
            <w:pPr>
              <w:bidi/>
              <w:ind w:right="125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9. أن يكون الشخص مبادراً ولا يكون تصرفه كرد فعل</w:t>
            </w:r>
          </w:p>
        </w:tc>
      </w:tr>
      <w:tr w:rsidR="003F761D" w:rsidRPr="004F751A" w:rsidTr="003F761D">
        <w:tc>
          <w:tcPr>
            <w:tcW w:w="4675" w:type="dxa"/>
            <w:vAlign w:val="center"/>
          </w:tcPr>
          <w:p w:rsidR="003F761D" w:rsidRPr="004F751A" w:rsidRDefault="003F761D" w:rsidP="00B07F8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bidi/>
              <w:ind w:left="247" w:right="125" w:hanging="270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أن يحظى الشخص أو العامل بالتأييد والدعم</w:t>
            </w:r>
          </w:p>
        </w:tc>
        <w:tc>
          <w:tcPr>
            <w:tcW w:w="4675" w:type="dxa"/>
            <w:vAlign w:val="center"/>
          </w:tcPr>
          <w:p w:rsidR="003F761D" w:rsidRPr="004F751A" w:rsidRDefault="003F761D" w:rsidP="00B07F84">
            <w:pPr>
              <w:bidi/>
              <w:ind w:right="125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10. ضمان جودة العمل</w:t>
            </w:r>
          </w:p>
        </w:tc>
      </w:tr>
    </w:tbl>
    <w:p w:rsidR="003F761D" w:rsidRPr="004F751A" w:rsidRDefault="003F761D" w:rsidP="00B07F84">
      <w:pPr>
        <w:bidi/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B07F84">
      <w:pPr>
        <w:bidi/>
        <w:rPr>
          <w:rFonts w:ascii="Open Sans" w:hAnsi="Open Sans" w:cs="Open Sans"/>
          <w:sz w:val="22"/>
          <w:szCs w:val="22"/>
        </w:rPr>
      </w:pPr>
    </w:p>
    <w:p w:rsidR="003F761D" w:rsidRPr="004F751A" w:rsidRDefault="003F761D" w:rsidP="00B07F84">
      <w:pPr>
        <w:bidi/>
        <w:rPr>
          <w:rFonts w:ascii="Open Sans" w:hAnsi="Open Sans" w:cs="Open Sans"/>
          <w:sz w:val="22"/>
          <w:szCs w:val="22"/>
        </w:rPr>
      </w:pPr>
    </w:p>
    <w:p w:rsidR="004203F4" w:rsidRPr="004F751A" w:rsidRDefault="004203F4" w:rsidP="00B07F84">
      <w:pPr>
        <w:bidi/>
        <w:rPr>
          <w:rFonts w:ascii="Open Sans" w:hAnsi="Open Sans" w:cs="Open Sans"/>
          <w:sz w:val="22"/>
          <w:szCs w:val="22"/>
        </w:rPr>
      </w:pPr>
    </w:p>
    <w:p w:rsidR="006727FE" w:rsidRPr="004F751A" w:rsidRDefault="004B0222" w:rsidP="00B07F84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داعم:</w:t>
      </w: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تثقيفي:</w:t>
      </w: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Open Sans"/>
          <w:sz w:val="22"/>
          <w:szCs w:val="22"/>
        </w:rPr>
      </w:pPr>
    </w:p>
    <w:p w:rsidR="004B0222" w:rsidRPr="004F751A" w:rsidRDefault="004B0222" w:rsidP="00B07F84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إداري:</w:t>
      </w:r>
    </w:p>
    <w:sectPr w:rsidR="004B0222" w:rsidRPr="004F751A" w:rsidSect="00771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01EF4"/>
    <w:multiLevelType w:val="hybridMultilevel"/>
    <w:tmpl w:val="69CE7B6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>
    <w:nsid w:val="7DC84356"/>
    <w:multiLevelType w:val="hybridMultilevel"/>
    <w:tmpl w:val="9440D7E4"/>
    <w:lvl w:ilvl="0" w:tplc="00227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w Cen MT" w:eastAsiaTheme="minorHAnsi" w:hAnsi="Tw Cen MT" w:cstheme="minorBidi"/>
      </w:rPr>
    </w:lvl>
    <w:lvl w:ilvl="1" w:tplc="BA8879A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22A6B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A2F57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927C18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DDA81B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8F8EAF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AF32C2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863E66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146F81"/>
    <w:rsid w:val="001857D7"/>
    <w:rsid w:val="003F5BF2"/>
    <w:rsid w:val="003F761D"/>
    <w:rsid w:val="004203F4"/>
    <w:rsid w:val="004A361A"/>
    <w:rsid w:val="004B0222"/>
    <w:rsid w:val="004F751A"/>
    <w:rsid w:val="006727FE"/>
    <w:rsid w:val="00771DA0"/>
    <w:rsid w:val="00995385"/>
    <w:rsid w:val="00B07F84"/>
    <w:rsid w:val="00D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9D75E5-1D2E-4FAC-8999-FF62955C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8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4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5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0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5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6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ahmed soliman</cp:lastModifiedBy>
  <cp:revision>3</cp:revision>
  <cp:lastPrinted>2017-10-02T23:43:00Z</cp:lastPrinted>
  <dcterms:created xsi:type="dcterms:W3CDTF">2017-04-07T21:40:00Z</dcterms:created>
  <dcterms:modified xsi:type="dcterms:W3CDTF">2017-10-02T23:43:00Z</dcterms:modified>
</cp:coreProperties>
</file>